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3192" w14:textId="013CCD6A" w:rsidR="0091360A" w:rsidRPr="00152CCC" w:rsidRDefault="0091360A" w:rsidP="0091360A">
      <w:pPr>
        <w:ind w:left="6520"/>
        <w:jc w:val="right"/>
        <w:rPr>
          <w:rFonts w:ascii="Open Sans" w:hAnsi="Open Sans"/>
          <w:color w:val="298590"/>
        </w:rPr>
      </w:pPr>
      <w:r w:rsidRPr="007266D3">
        <w:rPr>
          <w:noProof/>
          <w:sz w:val="28"/>
          <w:szCs w:val="28"/>
          <w:lang w:val="en-US" w:eastAsia="en-US"/>
        </w:rPr>
        <w:drawing>
          <wp:anchor distT="0" distB="0" distL="114300" distR="114300" simplePos="0" relativeHeight="251659264" behindDoc="0" locked="0" layoutInCell="1" allowOverlap="1" wp14:anchorId="177220C9" wp14:editId="10607C77">
            <wp:simplePos x="0" y="0"/>
            <wp:positionH relativeFrom="column">
              <wp:posOffset>1</wp:posOffset>
            </wp:positionH>
            <wp:positionV relativeFrom="page">
              <wp:posOffset>914400</wp:posOffset>
            </wp:positionV>
            <wp:extent cx="685800" cy="856507"/>
            <wp:effectExtent l="0" t="0" r="0" b="7620"/>
            <wp:wrapNone/>
            <wp:docPr id="2" name="Picture 2" descr="arene logo (pienenn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ne logo (pienennet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56507"/>
                    </a:xfrm>
                    <a:prstGeom prst="rect">
                      <a:avLst/>
                    </a:prstGeom>
                    <a:noFill/>
                    <a:ln>
                      <a:noFill/>
                    </a:ln>
                  </pic:spPr>
                </pic:pic>
              </a:graphicData>
            </a:graphic>
            <wp14:sizeRelH relativeFrom="page">
              <wp14:pctWidth>0</wp14:pctWidth>
            </wp14:sizeRelH>
            <wp14:sizeRelV relativeFrom="page">
              <wp14:pctHeight>0</wp14:pctHeight>
            </wp14:sizeRelV>
          </wp:anchor>
        </w:drawing>
      </w:r>
      <w:r w:rsidR="007266D3" w:rsidRPr="007266D3">
        <w:rPr>
          <w:rFonts w:ascii="Open Sans" w:hAnsi="Open Sans"/>
          <w:b/>
          <w:color w:val="298590"/>
          <w:sz w:val="28"/>
          <w:szCs w:val="28"/>
        </w:rPr>
        <w:t>LAUSUNTO</w:t>
      </w:r>
    </w:p>
    <w:p w14:paraId="6C167272" w14:textId="77777777" w:rsidR="0091360A" w:rsidRPr="00152CCC" w:rsidRDefault="0091360A" w:rsidP="0091360A">
      <w:pPr>
        <w:jc w:val="right"/>
        <w:rPr>
          <w:rFonts w:ascii="Open Sans" w:hAnsi="Open Sans"/>
          <w:b/>
          <w:sz w:val="14"/>
          <w:szCs w:val="28"/>
        </w:rPr>
      </w:pPr>
    </w:p>
    <w:p w14:paraId="34317966" w14:textId="77777777" w:rsidR="0091360A" w:rsidRPr="00152CCC" w:rsidRDefault="0091360A" w:rsidP="0091360A">
      <w:pPr>
        <w:spacing w:line="276" w:lineRule="auto"/>
        <w:jc w:val="right"/>
        <w:rPr>
          <w:rFonts w:ascii="Open Sans" w:hAnsi="Open Sans"/>
          <w:sz w:val="18"/>
          <w:szCs w:val="18"/>
        </w:rPr>
      </w:pPr>
      <w:r w:rsidRPr="00152CCC">
        <w:rPr>
          <w:rFonts w:ascii="Open Sans" w:hAnsi="Open Sans"/>
          <w:sz w:val="18"/>
          <w:szCs w:val="18"/>
        </w:rPr>
        <w:t>Ammattikorkeakoulujen rehtorineuvosto Arene ry</w:t>
      </w:r>
    </w:p>
    <w:p w14:paraId="690B0CCD" w14:textId="77777777" w:rsidR="0091360A" w:rsidRPr="00152CCC" w:rsidRDefault="0091360A" w:rsidP="0091360A">
      <w:pPr>
        <w:spacing w:line="276" w:lineRule="auto"/>
        <w:jc w:val="right"/>
        <w:rPr>
          <w:rFonts w:ascii="Open Sans" w:hAnsi="Open Sans"/>
          <w:sz w:val="18"/>
          <w:szCs w:val="18"/>
        </w:rPr>
      </w:pPr>
      <w:r w:rsidRPr="00152CCC">
        <w:rPr>
          <w:rFonts w:ascii="Open Sans" w:hAnsi="Open Sans"/>
          <w:sz w:val="18"/>
          <w:szCs w:val="18"/>
        </w:rPr>
        <w:t>Pohjoinen Makasiinikatu 7 A 2</w:t>
      </w:r>
    </w:p>
    <w:p w14:paraId="67F71100" w14:textId="77777777" w:rsidR="0091360A" w:rsidRPr="00152CCC" w:rsidRDefault="0091360A" w:rsidP="0091360A">
      <w:pPr>
        <w:spacing w:line="276" w:lineRule="auto"/>
        <w:jc w:val="right"/>
        <w:rPr>
          <w:rFonts w:ascii="Open Sans" w:hAnsi="Open Sans"/>
          <w:sz w:val="18"/>
          <w:szCs w:val="18"/>
        </w:rPr>
      </w:pPr>
      <w:r w:rsidRPr="00152CCC">
        <w:rPr>
          <w:rFonts w:ascii="Open Sans" w:hAnsi="Open Sans"/>
          <w:sz w:val="18"/>
          <w:szCs w:val="18"/>
        </w:rPr>
        <w:t>00130 HELSINKI</w:t>
      </w:r>
    </w:p>
    <w:p w14:paraId="0C5428DC" w14:textId="77777777" w:rsidR="0091360A" w:rsidRPr="00CE6352" w:rsidRDefault="009D4008" w:rsidP="0091360A">
      <w:pPr>
        <w:spacing w:line="276" w:lineRule="auto"/>
        <w:jc w:val="right"/>
        <w:rPr>
          <w:rFonts w:ascii="Open Sans" w:hAnsi="Open Sans"/>
          <w:color w:val="00589A"/>
          <w:sz w:val="18"/>
          <w:szCs w:val="18"/>
        </w:rPr>
      </w:pPr>
      <w:hyperlink r:id="rId6" w:history="1">
        <w:r w:rsidR="0091360A" w:rsidRPr="00CE6352">
          <w:rPr>
            <w:rStyle w:val="Hyperlinkki"/>
            <w:rFonts w:ascii="Open Sans" w:hAnsi="Open Sans"/>
            <w:color w:val="00589A"/>
            <w:sz w:val="18"/>
            <w:szCs w:val="18"/>
            <w:u w:val="none"/>
          </w:rPr>
          <w:t>www.arene.fi</w:t>
        </w:r>
      </w:hyperlink>
    </w:p>
    <w:p w14:paraId="13B03D11" w14:textId="77777777" w:rsidR="0091360A" w:rsidRDefault="0091360A" w:rsidP="0091360A">
      <w:pPr>
        <w:spacing w:line="276" w:lineRule="auto"/>
        <w:jc w:val="right"/>
        <w:rPr>
          <w:rFonts w:ascii="Open Sans" w:hAnsi="Open Sans"/>
          <w:b/>
          <w:sz w:val="20"/>
          <w:szCs w:val="20"/>
        </w:rPr>
      </w:pPr>
      <w:r w:rsidRPr="00152CCC">
        <w:rPr>
          <w:rFonts w:ascii="Open Sans" w:hAnsi="Open Sans"/>
        </w:rPr>
        <w:tab/>
      </w:r>
      <w:r w:rsidRPr="00152CCC">
        <w:rPr>
          <w:rFonts w:ascii="Open Sans" w:hAnsi="Open Sans"/>
        </w:rPr>
        <w:tab/>
      </w:r>
      <w:r w:rsidRPr="00152CCC">
        <w:rPr>
          <w:rFonts w:ascii="Open Sans" w:hAnsi="Open Sans"/>
        </w:rPr>
        <w:tab/>
      </w:r>
      <w:r w:rsidRPr="00152CCC">
        <w:rPr>
          <w:rFonts w:ascii="Open Sans" w:hAnsi="Open Sans"/>
        </w:rPr>
        <w:tab/>
      </w:r>
      <w:r w:rsidRPr="00152CCC">
        <w:rPr>
          <w:rFonts w:ascii="Open Sans" w:hAnsi="Open Sans"/>
        </w:rPr>
        <w:tab/>
      </w:r>
      <w:r>
        <w:rPr>
          <w:rFonts w:ascii="Open Sans" w:hAnsi="Open Sans"/>
          <w:b/>
        </w:rPr>
        <w:tab/>
      </w:r>
      <w:r w:rsidRPr="00152CCC">
        <w:rPr>
          <w:rFonts w:ascii="Open Sans" w:hAnsi="Open Sans"/>
          <w:b/>
        </w:rPr>
        <w:tab/>
      </w:r>
      <w:r w:rsidRPr="00152CCC">
        <w:rPr>
          <w:rFonts w:ascii="Open Sans" w:hAnsi="Open Sans"/>
          <w:b/>
          <w:sz w:val="20"/>
          <w:szCs w:val="20"/>
        </w:rPr>
        <w:t xml:space="preserve">              </w:t>
      </w:r>
    </w:p>
    <w:p w14:paraId="6B23710B" w14:textId="6BDAC68F" w:rsidR="0091360A" w:rsidRPr="0091360A" w:rsidRDefault="0091360A" w:rsidP="0091360A">
      <w:pPr>
        <w:spacing w:line="276" w:lineRule="auto"/>
        <w:jc w:val="right"/>
        <w:rPr>
          <w:rFonts w:ascii="Open Sans" w:hAnsi="Open Sans"/>
          <w:b/>
          <w:color w:val="298590"/>
          <w:sz w:val="20"/>
          <w:szCs w:val="20"/>
        </w:rPr>
      </w:pPr>
      <w:r w:rsidRPr="0091360A">
        <w:rPr>
          <w:rFonts w:ascii="Open Sans" w:hAnsi="Open Sans"/>
          <w:b/>
          <w:color w:val="298590"/>
          <w:sz w:val="20"/>
          <w:szCs w:val="20"/>
        </w:rPr>
        <w:t xml:space="preserve">    </w:t>
      </w:r>
      <w:r w:rsidR="00B672BB">
        <w:rPr>
          <w:rFonts w:ascii="Open Sans" w:hAnsi="Open Sans"/>
          <w:b/>
          <w:color w:val="298590"/>
          <w:sz w:val="20"/>
          <w:szCs w:val="20"/>
        </w:rPr>
        <w:t>12.6</w:t>
      </w:r>
      <w:r w:rsidRPr="0091360A">
        <w:rPr>
          <w:rFonts w:ascii="Open Sans" w:hAnsi="Open Sans"/>
          <w:b/>
          <w:color w:val="298590"/>
          <w:sz w:val="20"/>
          <w:szCs w:val="20"/>
        </w:rPr>
        <w:t>.2018</w:t>
      </w:r>
    </w:p>
    <w:p w14:paraId="49B491DB" w14:textId="77777777" w:rsidR="00B303D5" w:rsidRDefault="00B303D5"/>
    <w:p w14:paraId="2F4C56E7" w14:textId="77777777" w:rsidR="0091360A" w:rsidRDefault="0091360A"/>
    <w:p w14:paraId="1EAE9551" w14:textId="77777777" w:rsidR="0091360A" w:rsidRDefault="0091360A"/>
    <w:p w14:paraId="2AA2FD26" w14:textId="5DE53D70" w:rsidR="0091360A" w:rsidRDefault="0091360A"/>
    <w:p w14:paraId="3E72CDC7" w14:textId="01B2FBC2" w:rsidR="00B672BB" w:rsidRPr="00F219E8" w:rsidRDefault="00B672BB">
      <w:pPr>
        <w:rPr>
          <w:b/>
        </w:rPr>
      </w:pPr>
      <w:r w:rsidRPr="00F219E8">
        <w:rPr>
          <w:b/>
        </w:rPr>
        <w:t xml:space="preserve">Eduskunnan </w:t>
      </w:r>
      <w:r w:rsidR="00250172" w:rsidRPr="00F219E8">
        <w:rPr>
          <w:b/>
        </w:rPr>
        <w:t>s</w:t>
      </w:r>
      <w:r w:rsidRPr="00F219E8">
        <w:rPr>
          <w:b/>
        </w:rPr>
        <w:t>ivistysvaliokunta</w:t>
      </w:r>
    </w:p>
    <w:p w14:paraId="788EC745" w14:textId="77777777" w:rsidR="00B672BB" w:rsidRDefault="00B672BB"/>
    <w:p w14:paraId="49D66189" w14:textId="77777777" w:rsidR="0091360A" w:rsidRDefault="0091360A"/>
    <w:p w14:paraId="21BFC1F7" w14:textId="0C0D4861" w:rsidR="00F219E8" w:rsidRDefault="00B672BB" w:rsidP="0091360A">
      <w:pPr>
        <w:rPr>
          <w:rFonts w:ascii="Open Sans" w:eastAsia="Calibri" w:hAnsi="Open Sans" w:cs="Arial"/>
          <w:b/>
          <w:color w:val="298C98"/>
          <w:sz w:val="24"/>
          <w:szCs w:val="24"/>
          <w:lang w:eastAsia="en-US"/>
        </w:rPr>
      </w:pPr>
      <w:r w:rsidRPr="00F219E8">
        <w:rPr>
          <w:rFonts w:ascii="Open Sans" w:eastAsia="Calibri" w:hAnsi="Open Sans" w:cs="Arial"/>
          <w:b/>
          <w:color w:val="298C98"/>
          <w:sz w:val="24"/>
          <w:szCs w:val="24"/>
          <w:lang w:eastAsia="en-US"/>
        </w:rPr>
        <w:t>E</w:t>
      </w:r>
      <w:r w:rsidR="009D4008">
        <w:rPr>
          <w:rFonts w:ascii="Open Sans" w:eastAsia="Calibri" w:hAnsi="Open Sans" w:cs="Arial"/>
          <w:b/>
          <w:color w:val="298C98"/>
          <w:sz w:val="24"/>
          <w:szCs w:val="24"/>
          <w:lang w:eastAsia="en-US"/>
        </w:rPr>
        <w:t xml:space="preserve"> </w:t>
      </w:r>
      <w:r w:rsidRPr="00F219E8">
        <w:rPr>
          <w:rFonts w:ascii="Open Sans" w:eastAsia="Calibri" w:hAnsi="Open Sans" w:cs="Arial"/>
          <w:b/>
          <w:color w:val="298C98"/>
          <w:sz w:val="24"/>
          <w:szCs w:val="24"/>
          <w:lang w:eastAsia="en-US"/>
        </w:rPr>
        <w:t xml:space="preserve">27/2018 vp Valtioneuvoston selvitys: Komission tiedonanto: </w:t>
      </w:r>
    </w:p>
    <w:p w14:paraId="4068B097" w14:textId="4ADA7819" w:rsidR="0091360A" w:rsidRPr="00F219E8" w:rsidRDefault="00217F31" w:rsidP="0091360A">
      <w:pPr>
        <w:rPr>
          <w:rFonts w:ascii="Open Sans" w:hAnsi="Open Sans" w:cs="Calibri"/>
          <w:b/>
          <w:bCs/>
          <w:color w:val="298C98"/>
          <w:sz w:val="24"/>
          <w:szCs w:val="24"/>
          <w:lang w:eastAsia="en-US"/>
        </w:rPr>
      </w:pPr>
      <w:r>
        <w:rPr>
          <w:rFonts w:ascii="Open Sans" w:eastAsia="Calibri" w:hAnsi="Open Sans" w:cs="Arial"/>
          <w:b/>
          <w:color w:val="298C98"/>
          <w:sz w:val="24"/>
          <w:szCs w:val="24"/>
          <w:lang w:eastAsia="en-US"/>
        </w:rPr>
        <w:t>Kohti y</w:t>
      </w:r>
      <w:r w:rsidR="00B672BB" w:rsidRPr="00F219E8">
        <w:rPr>
          <w:rFonts w:ascii="Open Sans" w:eastAsia="Calibri" w:hAnsi="Open Sans" w:cs="Arial"/>
          <w:b/>
          <w:color w:val="298C98"/>
          <w:sz w:val="24"/>
          <w:szCs w:val="24"/>
          <w:lang w:eastAsia="en-US"/>
        </w:rPr>
        <w:t>hteistä eurooppalaista data-aluetta</w:t>
      </w:r>
    </w:p>
    <w:p w14:paraId="0B4B794F" w14:textId="77777777" w:rsidR="0091360A" w:rsidRDefault="0091360A" w:rsidP="0091360A">
      <w:pPr>
        <w:spacing w:line="276" w:lineRule="auto"/>
        <w:rPr>
          <w:rFonts w:ascii="Open Sans" w:hAnsi="Open Sans" w:cs="Calibri"/>
        </w:rPr>
      </w:pPr>
    </w:p>
    <w:p w14:paraId="6766734D" w14:textId="77777777" w:rsidR="00B672BB" w:rsidRDefault="00B672BB" w:rsidP="00B672BB">
      <w:bookmarkStart w:id="0" w:name="_GoBack"/>
      <w:bookmarkEnd w:id="0"/>
    </w:p>
    <w:p w14:paraId="60624902" w14:textId="77777777" w:rsidR="00B672BB" w:rsidRPr="00B672BB" w:rsidRDefault="00B672BB" w:rsidP="00B672BB">
      <w:pPr>
        <w:rPr>
          <w:rFonts w:cs="Arial"/>
        </w:rPr>
      </w:pPr>
      <w:r w:rsidRPr="00B672BB">
        <w:rPr>
          <w:rFonts w:cs="Arial"/>
        </w:rPr>
        <w:t>Lausunnon keskeinen sisältö:</w:t>
      </w:r>
    </w:p>
    <w:p w14:paraId="3597AB1E" w14:textId="2BDF5129" w:rsidR="00B672BB" w:rsidRDefault="00B672BB" w:rsidP="00B672BB">
      <w:pPr>
        <w:pStyle w:val="Luettelokappale"/>
        <w:numPr>
          <w:ilvl w:val="0"/>
          <w:numId w:val="1"/>
        </w:numPr>
        <w:rPr>
          <w:rFonts w:ascii="Arial" w:hAnsi="Arial" w:cs="Arial"/>
        </w:rPr>
      </w:pPr>
      <w:r w:rsidRPr="00B672BB">
        <w:rPr>
          <w:rFonts w:ascii="Arial" w:hAnsi="Arial" w:cs="Arial"/>
        </w:rPr>
        <w:t>Yksityisten ja julkisten tietoaineistojen on oltava mahdollisimman laajasti korkeakoulujen hyödynnettävissä tutkimuksessa ja myös koulutuksessa.</w:t>
      </w:r>
    </w:p>
    <w:p w14:paraId="31396E82" w14:textId="77777777" w:rsidR="00B672BB" w:rsidRPr="00B672BB" w:rsidRDefault="00B672BB" w:rsidP="00911E80">
      <w:pPr>
        <w:pStyle w:val="Luettelokappale"/>
        <w:rPr>
          <w:rFonts w:ascii="Arial" w:hAnsi="Arial" w:cs="Arial"/>
        </w:rPr>
      </w:pPr>
    </w:p>
    <w:p w14:paraId="168C6C20" w14:textId="03513830" w:rsidR="00B672BB" w:rsidRDefault="00B672BB" w:rsidP="00B672BB">
      <w:pPr>
        <w:rPr>
          <w:rFonts w:cstheme="minorHAnsi"/>
        </w:rPr>
      </w:pPr>
      <w:r>
        <w:rPr>
          <w:rFonts w:cstheme="minorHAnsi"/>
        </w:rPr>
        <w:t>Ammattikorkeakoulujen rehtorineuvosto Arene tunnistaa tiedonannossa lyhyesti kuvatun datavallankumouksen mahdollisuudet ja merkityksen koko yhteiskunnalle sekä erityisesti innovoinnille ja tutkimukselle. Kasvun edellytyksenä on tehokas tulosten hyödyntäminen ja päällekkäisen työn välttäminen Datavallankumous haastaa korkeakoulutuksen sisällöt, kun kyvystä analysoida dataa ja oppia sen perusteella tulee keskeinen menestystekijä yksityisellä ja julkisella sektorilla. Uudet osaamisen vaatimukset ulottuvat kaikille toimi- ja ammattialoille.</w:t>
      </w:r>
    </w:p>
    <w:p w14:paraId="079BE276" w14:textId="77777777" w:rsidR="00B672BB" w:rsidRDefault="00B672BB" w:rsidP="00B672BB">
      <w:pPr>
        <w:rPr>
          <w:rFonts w:cstheme="minorHAnsi"/>
        </w:rPr>
      </w:pPr>
    </w:p>
    <w:p w14:paraId="241CD361" w14:textId="586C0973" w:rsidR="00B672BB" w:rsidRDefault="00B672BB" w:rsidP="00B672BB">
      <w:pPr>
        <w:rPr>
          <w:rFonts w:cstheme="minorHAnsi"/>
        </w:rPr>
      </w:pPr>
      <w:r>
        <w:rPr>
          <w:rFonts w:cstheme="minorHAnsi"/>
        </w:rPr>
        <w:t>Julkisten ja julkisrahoitteisten tietojen saatavuus ja uudelleenkäyttö ovat yhteisen eurooppalaisen data-avaruuden kulmakiviä, mutta ne eivät yksin riitä. Myös yritysten toiminnassa syntyvät tietovarannot on saatava hyödynnettäväksi. Uusiin teknologioihin perustuvat palvelut, koneet ja prosessit, kuten esineiden internet, tuottavat enenevässä määrin dataa, joka jää yritysten omaisuudeksi.</w:t>
      </w:r>
    </w:p>
    <w:p w14:paraId="43B36B2D" w14:textId="77777777" w:rsidR="0096285E" w:rsidRDefault="0096285E" w:rsidP="00B672BB">
      <w:pPr>
        <w:rPr>
          <w:rFonts w:cstheme="minorHAnsi"/>
        </w:rPr>
      </w:pPr>
    </w:p>
    <w:p w14:paraId="00E5FC38" w14:textId="5523747D" w:rsidR="00B672BB" w:rsidRDefault="00B672BB" w:rsidP="00B672BB">
      <w:pPr>
        <w:rPr>
          <w:rFonts w:cstheme="minorHAnsi"/>
        </w:rPr>
      </w:pPr>
      <w:r>
        <w:rPr>
          <w:rFonts w:cstheme="minorHAnsi"/>
        </w:rPr>
        <w:t xml:space="preserve">Tiedonanto toteaa, että yritysten omistuksessa olevien tietojen analysointi on kustannustehokas ja nopea tapa koota virallisia tilastotietoja. Yritysten ja kansalaisten taakka vähenee, kun erilliset kyselyt ja raportoinnit vähenevät. </w:t>
      </w:r>
    </w:p>
    <w:p w14:paraId="4C38C2C4" w14:textId="77777777" w:rsidR="0096285E" w:rsidRDefault="0096285E" w:rsidP="00B672BB">
      <w:pPr>
        <w:rPr>
          <w:rFonts w:cstheme="minorHAnsi"/>
        </w:rPr>
      </w:pPr>
    </w:p>
    <w:p w14:paraId="1209AADE" w14:textId="3894AD80" w:rsidR="00B672BB" w:rsidRDefault="00B672BB" w:rsidP="00B672BB">
      <w:pPr>
        <w:rPr>
          <w:rFonts w:cstheme="minorHAnsi"/>
        </w:rPr>
      </w:pPr>
      <w:proofErr w:type="spellStart"/>
      <w:r>
        <w:rPr>
          <w:rFonts w:cstheme="minorHAnsi"/>
        </w:rPr>
        <w:t>Arenen</w:t>
      </w:r>
      <w:proofErr w:type="spellEnd"/>
      <w:r>
        <w:rPr>
          <w:rFonts w:cstheme="minorHAnsi"/>
        </w:rPr>
        <w:t xml:space="preserve"> mukaan korkeakoulutuksen ja tutkimuksen kannalta on välttämätöntä, että syntyvät aineistot ovat mahdollisimman laajasti korkeakoulujen käytössä. Omistajuutta (julkinen, yritys) merkittävämpi kysymys on, miten yksityisten toimijoiden datavarantoja voidaan tuoda hyödynnettäväksi. Yritysten liikesalaisuudet on mahdollista suojata teknisesti rajoittamatta tarpeettomasti aineistojen tutkimuskäyttöä.</w:t>
      </w:r>
    </w:p>
    <w:p w14:paraId="3AD0C83D" w14:textId="77777777" w:rsidR="0096285E" w:rsidRDefault="0096285E" w:rsidP="00B672BB">
      <w:pPr>
        <w:rPr>
          <w:rFonts w:cstheme="minorHAnsi"/>
        </w:rPr>
      </w:pPr>
    </w:p>
    <w:p w14:paraId="17ECB4CF" w14:textId="1515BCAD" w:rsidR="00B672BB" w:rsidRDefault="00B672BB" w:rsidP="00B672BB">
      <w:pPr>
        <w:rPr>
          <w:rFonts w:cstheme="minorHAnsi"/>
        </w:rPr>
      </w:pPr>
      <w:r>
        <w:rPr>
          <w:rFonts w:cstheme="minorHAnsi"/>
        </w:rPr>
        <w:t>Yksityisen sektorin aineistot ovat merkittäviä tutkimukselle. Niiden hyödyntämiseen tarvitaan yhdenmukaiset toimintamallit ja periaatteet, jotka samalla edistävät datan hyödyntämistä tutkimuksessa ja siten tuottavat osaamista, edistävät innovaatioita ja parantavat kilpailukykyä. Tämä edellyttää, että data on laadukasta ja luotettavaa. Ra</w:t>
      </w:r>
      <w:r>
        <w:rPr>
          <w:rFonts w:cstheme="minorHAnsi"/>
        </w:rPr>
        <w:lastRenderedPageBreak/>
        <w:t>japintojen muodostamisen perustaksi tarvitaan standardeja mm. yhtenäisistä datamalleista, metatiedoista datan kuvailuun sekä käsitemäärittelyistä. Nämä ovat edellytyksiä rajapintojen, tietojen ja järjestelmien yhteen toimivuudelle. Myös datan välittämiseen tarvittavat arkkitehtuurit ja infrastruktuurit tulisi ottaa huomioon.</w:t>
      </w:r>
    </w:p>
    <w:p w14:paraId="7DF3E667" w14:textId="77777777" w:rsidR="00250172" w:rsidRDefault="00250172" w:rsidP="00B672BB">
      <w:pPr>
        <w:rPr>
          <w:rFonts w:cstheme="minorHAnsi"/>
        </w:rPr>
      </w:pPr>
    </w:p>
    <w:p w14:paraId="6EE123FA" w14:textId="77777777" w:rsidR="00B672BB" w:rsidRDefault="00B672BB" w:rsidP="00B672BB">
      <w:pPr>
        <w:rPr>
          <w:rFonts w:cstheme="minorHAnsi"/>
        </w:rPr>
      </w:pPr>
      <w:r>
        <w:rPr>
          <w:rFonts w:cstheme="minorHAnsi"/>
        </w:rPr>
        <w:t xml:space="preserve">Tiedonanto keskittyy yhtäältä ”yksityinen-yksityinen” ja toisaalta ”yksityinen-viranomainen” väliseen datan saatavuuteen. Viranomaisen osalta puhutaan ”yleisen edun mukaisuudesta ”, mihin määritelmään viitataan myös EU:n tietosuoja-asetuksessa. Tietosuoja-asetusta täydentävässä kansallisessa tietosuojalaissa tieteellinen tutkimus, tilastointi, arkistointi ym. ovat yleisen edun mukaisiksi määriteltyjä perusteita. </w:t>
      </w:r>
    </w:p>
    <w:p w14:paraId="4E2E2DE9" w14:textId="77777777" w:rsidR="00B672BB" w:rsidRDefault="00B672BB" w:rsidP="00B672BB">
      <w:pPr>
        <w:rPr>
          <w:rFonts w:cstheme="minorHAnsi"/>
        </w:rPr>
      </w:pPr>
      <w:r>
        <w:rPr>
          <w:rFonts w:cstheme="minorHAnsi"/>
        </w:rPr>
        <w:t>Suomalaiset korkeakoulut eivät ole viranomaisia, mutta ammattikorkeakoulut ja yliopistot ovat EU:n käsitteistön perusteella selvästi julkisoikeudellisia laitoksia, koska ne on perustettu vastaamaan yleisen edun mukaisesta tarpeesta eikä niissä pääasiallisesti harjoiteta kaupallista tai teollista toimintaa. EU:n PSI-direktiivissä ja saavutettavuusdirektiivissä on käytetty julkisoikeudellisen laitoksen käsitettä rinnastamaan ne organisaatiot viranomaisiin, joita ei muuten katsottaisi viranomaisiksi.</w:t>
      </w:r>
    </w:p>
    <w:p w14:paraId="5CA41E15" w14:textId="77777777" w:rsidR="00B672BB" w:rsidRDefault="00B672BB" w:rsidP="00B672BB">
      <w:pPr>
        <w:rPr>
          <w:rFonts w:eastAsiaTheme="minorHAnsi" w:cstheme="minorHAnsi"/>
          <w:lang w:eastAsia="en-US"/>
        </w:rPr>
      </w:pPr>
    </w:p>
    <w:p w14:paraId="1F22EEB0" w14:textId="10DAF38C" w:rsidR="00B672BB" w:rsidRDefault="00B672BB" w:rsidP="00B672BB">
      <w:pPr>
        <w:rPr>
          <w:rFonts w:cstheme="minorHAnsi"/>
        </w:rPr>
      </w:pPr>
      <w:r>
        <w:rPr>
          <w:rFonts w:cstheme="minorHAnsi"/>
        </w:rPr>
        <w:t xml:space="preserve">Arene esittää, että eurooppalaisen data-alueen yhteydessä viranomaiskäsite lavennettaisiin julkisoikeudelliseksi laitokseksi, jotta se huomioi myös korkeakoulut yksityisen sektorin hallussa olevien tietoaineistojen hyödyntäjinä tutkimuksessa. </w:t>
      </w:r>
    </w:p>
    <w:p w14:paraId="3ABDEFF1" w14:textId="77777777" w:rsidR="00250172" w:rsidRDefault="00250172" w:rsidP="00B672BB">
      <w:pPr>
        <w:rPr>
          <w:rFonts w:cstheme="minorHAnsi"/>
        </w:rPr>
      </w:pPr>
    </w:p>
    <w:p w14:paraId="1A2B8E5C" w14:textId="77777777" w:rsidR="00B672BB" w:rsidRDefault="00B672BB" w:rsidP="00B672BB">
      <w:pPr>
        <w:rPr>
          <w:rFonts w:cstheme="minorHAnsi"/>
        </w:rPr>
      </w:pPr>
      <w:r>
        <w:rPr>
          <w:rFonts w:cstheme="minorHAnsi"/>
        </w:rPr>
        <w:t>Avoimen tieteen periaatteiden mukaan kaikkien tutkijoiden on noudatettava avoimuutta tutkimusprosessin kaikissa vaiheissa tutkimussuunnitelmasta, menetelmistä ja työnkulusta tulosten jakamiseen, jotta aiempaa tutkimusta voidaan helposti hyödyntää jatkossa. Avoimella tieteellä voidaan lisätä tieteen laatua, vähentää päällekkäisyyttä ja helpottaa uudelleenkäyttöä ja siten lisätä tieteen vaikutusta koko yhteiskuntaan.</w:t>
      </w:r>
    </w:p>
    <w:p w14:paraId="65ABAF4D" w14:textId="77777777" w:rsidR="0091360A" w:rsidRDefault="0091360A" w:rsidP="00B672BB"/>
    <w:p w14:paraId="376E7316" w14:textId="196DBF15" w:rsidR="0091360A" w:rsidRDefault="0091360A" w:rsidP="00B672BB"/>
    <w:p w14:paraId="598F6C4A" w14:textId="77777777" w:rsidR="0091360A" w:rsidRDefault="0091360A"/>
    <w:p w14:paraId="6E3A2A9F" w14:textId="77777777" w:rsidR="0091360A" w:rsidRDefault="0091360A">
      <w:r w:rsidRPr="0091360A">
        <w:rPr>
          <w:rFonts w:eastAsia="Calibri" w:cs="Arial"/>
          <w:b/>
          <w:noProof/>
          <w:color w:val="298C98"/>
          <w:sz w:val="18"/>
          <w:szCs w:val="18"/>
          <w:lang w:eastAsia="en-US"/>
        </w:rPr>
        <w:drawing>
          <wp:anchor distT="0" distB="0" distL="114300" distR="114300" simplePos="0" relativeHeight="251663360" behindDoc="0" locked="0" layoutInCell="1" allowOverlap="1" wp14:anchorId="6093929B" wp14:editId="186C390D">
            <wp:simplePos x="0" y="0"/>
            <wp:positionH relativeFrom="column">
              <wp:posOffset>2400300</wp:posOffset>
            </wp:positionH>
            <wp:positionV relativeFrom="paragraph">
              <wp:posOffset>84455</wp:posOffset>
            </wp:positionV>
            <wp:extent cx="210185" cy="267970"/>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60A">
        <w:rPr>
          <w:rFonts w:eastAsia="Calibri" w:cs="Arial"/>
          <w:b/>
          <w:noProof/>
          <w:color w:val="298C98"/>
          <w:sz w:val="18"/>
          <w:szCs w:val="18"/>
          <w:lang w:eastAsia="en-US"/>
        </w:rPr>
        <w:drawing>
          <wp:anchor distT="0" distB="0" distL="114300" distR="114300" simplePos="0" relativeHeight="251661312" behindDoc="0" locked="0" layoutInCell="1" allowOverlap="1" wp14:anchorId="0AD55B0D" wp14:editId="3612C575">
            <wp:simplePos x="0" y="0"/>
            <wp:positionH relativeFrom="column">
              <wp:posOffset>0</wp:posOffset>
            </wp:positionH>
            <wp:positionV relativeFrom="paragraph">
              <wp:posOffset>84455</wp:posOffset>
            </wp:positionV>
            <wp:extent cx="210185" cy="26797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 cy="267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20A80" w14:textId="77777777" w:rsidR="00625E48" w:rsidRDefault="0091360A" w:rsidP="0091360A">
      <w:pPr>
        <w:tabs>
          <w:tab w:val="left" w:pos="567"/>
        </w:tabs>
        <w:spacing w:after="200" w:line="276" w:lineRule="auto"/>
        <w:contextualSpacing/>
        <w:rPr>
          <w:rFonts w:eastAsia="Calibri" w:cs="Arial"/>
          <w:b/>
          <w:color w:val="298C98"/>
          <w:sz w:val="19"/>
          <w:szCs w:val="19"/>
          <w:lang w:eastAsia="en-US"/>
        </w:rPr>
      </w:pPr>
      <w:r>
        <w:rPr>
          <w:rFonts w:eastAsia="Calibri" w:cs="Arial"/>
          <w:b/>
          <w:color w:val="298C98"/>
          <w:sz w:val="18"/>
          <w:szCs w:val="18"/>
          <w:lang w:eastAsia="en-US"/>
        </w:rPr>
        <w:tab/>
      </w:r>
      <w:r w:rsidRPr="0091360A">
        <w:rPr>
          <w:rFonts w:eastAsia="Calibri" w:cs="Arial"/>
          <w:b/>
          <w:color w:val="298C98"/>
          <w:sz w:val="19"/>
          <w:szCs w:val="19"/>
          <w:lang w:eastAsia="en-US"/>
        </w:rPr>
        <w:t>ARENE RY</w:t>
      </w:r>
      <w:r w:rsidR="00625E48">
        <w:rPr>
          <w:rFonts w:eastAsia="Calibri" w:cs="Arial"/>
          <w:b/>
          <w:color w:val="298C98"/>
          <w:sz w:val="19"/>
          <w:szCs w:val="19"/>
          <w:lang w:eastAsia="en-US"/>
        </w:rPr>
        <w:tab/>
      </w:r>
      <w:r w:rsidR="00625E48">
        <w:rPr>
          <w:rFonts w:eastAsia="Calibri" w:cs="Arial"/>
          <w:b/>
          <w:color w:val="298C98"/>
          <w:sz w:val="19"/>
          <w:szCs w:val="19"/>
          <w:lang w:eastAsia="en-US"/>
        </w:rPr>
        <w:tab/>
      </w:r>
      <w:r w:rsidR="00625E48">
        <w:rPr>
          <w:rFonts w:eastAsia="Calibri" w:cs="Arial"/>
          <w:b/>
          <w:color w:val="298C98"/>
          <w:sz w:val="19"/>
          <w:szCs w:val="19"/>
          <w:lang w:eastAsia="en-US"/>
        </w:rPr>
        <w:tab/>
      </w:r>
      <w:r w:rsidR="00625E48">
        <w:rPr>
          <w:rFonts w:eastAsia="Calibri" w:cs="Arial"/>
          <w:b/>
          <w:color w:val="298C98"/>
          <w:sz w:val="19"/>
          <w:szCs w:val="19"/>
          <w:lang w:eastAsia="en-US"/>
        </w:rPr>
        <w:tab/>
      </w:r>
      <w:r w:rsidRPr="0091360A">
        <w:rPr>
          <w:rFonts w:eastAsia="Calibri" w:cs="Arial"/>
          <w:b/>
          <w:color w:val="298C98"/>
          <w:sz w:val="19"/>
          <w:szCs w:val="19"/>
          <w:lang w:eastAsia="en-US"/>
        </w:rPr>
        <w:t>ARENE RY</w:t>
      </w:r>
    </w:p>
    <w:p w14:paraId="3FD9AA57" w14:textId="77777777" w:rsidR="00625E48" w:rsidRPr="00625E48" w:rsidRDefault="00625E48" w:rsidP="0091360A">
      <w:pPr>
        <w:tabs>
          <w:tab w:val="left" w:pos="567"/>
        </w:tabs>
        <w:spacing w:after="200" w:line="276" w:lineRule="auto"/>
        <w:contextualSpacing/>
        <w:rPr>
          <w:rFonts w:eastAsia="Calibri" w:cs="Arial"/>
          <w:b/>
          <w:color w:val="298C98"/>
          <w:sz w:val="19"/>
          <w:szCs w:val="19"/>
          <w:lang w:eastAsia="en-US"/>
        </w:rPr>
      </w:pPr>
    </w:p>
    <w:p w14:paraId="1C689D48" w14:textId="77777777" w:rsidR="0091360A" w:rsidRPr="0091360A" w:rsidRDefault="0091360A" w:rsidP="0091360A">
      <w:pPr>
        <w:tabs>
          <w:tab w:val="left" w:pos="567"/>
        </w:tabs>
        <w:spacing w:after="200" w:line="276" w:lineRule="auto"/>
        <w:contextualSpacing/>
        <w:rPr>
          <w:rFonts w:eastAsia="Calibri" w:cs="Arial"/>
          <w:b/>
          <w:sz w:val="20"/>
          <w:szCs w:val="20"/>
          <w:lang w:eastAsia="en-US"/>
        </w:rPr>
      </w:pPr>
      <w:r>
        <w:rPr>
          <w:rFonts w:eastAsia="Calibri" w:cs="Arial"/>
          <w:sz w:val="20"/>
          <w:szCs w:val="20"/>
          <w:lang w:eastAsia="en-US"/>
        </w:rPr>
        <w:tab/>
      </w:r>
      <w:r w:rsidRPr="0005470B">
        <w:rPr>
          <w:rFonts w:eastAsia="Calibri" w:cs="Arial"/>
          <w:b/>
          <w:sz w:val="20"/>
          <w:szCs w:val="20"/>
          <w:lang w:eastAsia="en-US"/>
        </w:rPr>
        <w:t>Tapio Varmola</w:t>
      </w:r>
      <w:r w:rsidRPr="0091360A">
        <w:rPr>
          <w:rFonts w:eastAsia="Calibri" w:cs="Arial"/>
          <w:b/>
          <w:sz w:val="20"/>
          <w:szCs w:val="20"/>
          <w:lang w:eastAsia="en-US"/>
        </w:rPr>
        <w:t xml:space="preserve"> </w:t>
      </w:r>
      <w:r w:rsidRPr="0091360A">
        <w:rPr>
          <w:rFonts w:eastAsia="Calibri" w:cs="Arial"/>
          <w:b/>
          <w:sz w:val="20"/>
          <w:szCs w:val="20"/>
          <w:lang w:eastAsia="en-US"/>
        </w:rPr>
        <w:tab/>
      </w:r>
      <w:r w:rsidRPr="0091360A">
        <w:rPr>
          <w:rFonts w:eastAsia="Calibri" w:cs="Arial"/>
          <w:b/>
          <w:sz w:val="20"/>
          <w:szCs w:val="20"/>
          <w:lang w:eastAsia="en-US"/>
        </w:rPr>
        <w:tab/>
      </w:r>
      <w:r w:rsidRPr="0091360A">
        <w:rPr>
          <w:rFonts w:eastAsia="Calibri" w:cs="Arial"/>
          <w:b/>
          <w:sz w:val="20"/>
          <w:szCs w:val="20"/>
          <w:lang w:eastAsia="en-US"/>
        </w:rPr>
        <w:tab/>
      </w:r>
      <w:r>
        <w:rPr>
          <w:rFonts w:eastAsia="Calibri" w:cs="Arial"/>
          <w:b/>
          <w:sz w:val="20"/>
          <w:szCs w:val="20"/>
          <w:lang w:eastAsia="en-US"/>
        </w:rPr>
        <w:tab/>
      </w:r>
      <w:r w:rsidRPr="0005470B">
        <w:rPr>
          <w:rFonts w:eastAsia="Calibri" w:cs="Arial"/>
          <w:b/>
          <w:sz w:val="20"/>
          <w:szCs w:val="20"/>
          <w:lang w:eastAsia="en-US"/>
        </w:rPr>
        <w:t>Petri Lempinen</w:t>
      </w:r>
      <w:r w:rsidRPr="0091360A">
        <w:rPr>
          <w:rFonts w:eastAsia="Calibri" w:cs="Arial"/>
          <w:b/>
          <w:sz w:val="20"/>
          <w:szCs w:val="20"/>
          <w:lang w:eastAsia="en-US"/>
        </w:rPr>
        <w:tab/>
      </w:r>
    </w:p>
    <w:p w14:paraId="7466862E" w14:textId="77777777" w:rsidR="0091360A" w:rsidRPr="0091360A" w:rsidRDefault="0091360A" w:rsidP="0091360A">
      <w:pPr>
        <w:tabs>
          <w:tab w:val="left" w:pos="567"/>
        </w:tabs>
        <w:spacing w:after="200" w:line="360" w:lineRule="auto"/>
        <w:contextualSpacing/>
        <w:rPr>
          <w:rFonts w:eastAsia="Calibri" w:cs="Arial"/>
          <w:sz w:val="20"/>
          <w:szCs w:val="20"/>
          <w:lang w:eastAsia="en-US"/>
        </w:rPr>
      </w:pPr>
      <w:r>
        <w:rPr>
          <w:rFonts w:eastAsia="Calibri" w:cs="Arial"/>
          <w:sz w:val="20"/>
          <w:szCs w:val="20"/>
          <w:lang w:eastAsia="en-US"/>
        </w:rPr>
        <w:tab/>
      </w:r>
      <w:r w:rsidRPr="0091360A">
        <w:rPr>
          <w:rFonts w:eastAsia="Calibri" w:cs="Arial"/>
          <w:sz w:val="20"/>
          <w:szCs w:val="20"/>
          <w:lang w:eastAsia="en-US"/>
        </w:rPr>
        <w:t>Puheenjohtaja, rehtori</w:t>
      </w:r>
      <w:r w:rsidRPr="0091360A">
        <w:rPr>
          <w:rFonts w:eastAsia="Calibri" w:cs="Arial"/>
          <w:sz w:val="20"/>
          <w:szCs w:val="20"/>
          <w:lang w:eastAsia="en-US"/>
        </w:rPr>
        <w:tab/>
      </w:r>
      <w:r w:rsidRPr="0091360A">
        <w:rPr>
          <w:rFonts w:eastAsia="Calibri" w:cs="Arial"/>
          <w:sz w:val="20"/>
          <w:szCs w:val="20"/>
          <w:lang w:eastAsia="en-US"/>
        </w:rPr>
        <w:tab/>
      </w:r>
      <w:r w:rsidRPr="0091360A">
        <w:rPr>
          <w:rFonts w:eastAsia="Calibri" w:cs="Arial"/>
          <w:sz w:val="20"/>
          <w:szCs w:val="20"/>
          <w:lang w:eastAsia="en-US"/>
        </w:rPr>
        <w:tab/>
        <w:t>Toiminnanjohtaja</w:t>
      </w:r>
      <w:r w:rsidRPr="0091360A">
        <w:rPr>
          <w:rFonts w:eastAsia="Calibri" w:cs="Arial"/>
          <w:sz w:val="20"/>
          <w:szCs w:val="20"/>
          <w:lang w:eastAsia="en-US"/>
        </w:rPr>
        <w:tab/>
      </w:r>
    </w:p>
    <w:p w14:paraId="1C36874D" w14:textId="77777777" w:rsidR="0091360A" w:rsidRPr="0091360A" w:rsidRDefault="0091360A" w:rsidP="0091360A">
      <w:pPr>
        <w:tabs>
          <w:tab w:val="left" w:pos="567"/>
        </w:tabs>
        <w:spacing w:line="276" w:lineRule="auto"/>
        <w:rPr>
          <w:rFonts w:eastAsia="Calibri" w:cs="Arial"/>
          <w:sz w:val="20"/>
          <w:szCs w:val="20"/>
          <w:lang w:eastAsia="en-US"/>
        </w:rPr>
      </w:pPr>
      <w:r>
        <w:rPr>
          <w:rFonts w:eastAsia="Calibri" w:cs="Arial"/>
          <w:sz w:val="20"/>
          <w:szCs w:val="20"/>
          <w:lang w:eastAsia="en-US"/>
        </w:rPr>
        <w:tab/>
      </w:r>
      <w:r w:rsidRPr="0091360A">
        <w:rPr>
          <w:rFonts w:eastAsia="Calibri" w:cs="Arial"/>
          <w:sz w:val="20"/>
          <w:szCs w:val="20"/>
          <w:lang w:eastAsia="en-US"/>
        </w:rPr>
        <w:t>040 830 4100</w:t>
      </w:r>
      <w:r w:rsidRPr="0091360A">
        <w:rPr>
          <w:rFonts w:eastAsia="Calibri" w:cs="Arial"/>
          <w:sz w:val="20"/>
          <w:szCs w:val="20"/>
          <w:lang w:eastAsia="en-US"/>
        </w:rPr>
        <w:tab/>
      </w:r>
      <w:r w:rsidRPr="0091360A">
        <w:rPr>
          <w:rFonts w:eastAsia="Calibri" w:cs="Arial"/>
          <w:sz w:val="20"/>
          <w:szCs w:val="20"/>
          <w:lang w:eastAsia="en-US"/>
        </w:rPr>
        <w:tab/>
      </w:r>
      <w:r w:rsidRPr="0091360A">
        <w:rPr>
          <w:rFonts w:eastAsia="Calibri" w:cs="Arial"/>
          <w:sz w:val="20"/>
          <w:szCs w:val="20"/>
          <w:lang w:eastAsia="en-US"/>
        </w:rPr>
        <w:tab/>
      </w:r>
      <w:r w:rsidRPr="0091360A">
        <w:rPr>
          <w:rFonts w:eastAsia="Calibri"/>
          <w:sz w:val="20"/>
          <w:szCs w:val="20"/>
        </w:rPr>
        <w:tab/>
      </w:r>
      <w:r w:rsidRPr="0091360A">
        <w:rPr>
          <w:rFonts w:cs="Arial"/>
          <w:color w:val="000000"/>
          <w:sz w:val="20"/>
          <w:szCs w:val="20"/>
        </w:rPr>
        <w:t>040 766 7805</w:t>
      </w:r>
    </w:p>
    <w:p w14:paraId="72F160B9" w14:textId="77777777" w:rsidR="0091360A" w:rsidRPr="0091360A" w:rsidRDefault="0091360A" w:rsidP="0091360A">
      <w:pPr>
        <w:tabs>
          <w:tab w:val="left" w:pos="567"/>
        </w:tabs>
        <w:spacing w:after="200" w:line="276" w:lineRule="auto"/>
        <w:contextualSpacing/>
        <w:rPr>
          <w:rFonts w:eastAsia="Calibri" w:cs="Arial"/>
          <w:sz w:val="20"/>
          <w:szCs w:val="20"/>
          <w:lang w:eastAsia="en-US"/>
        </w:rPr>
      </w:pPr>
      <w:r>
        <w:rPr>
          <w:rFonts w:eastAsia="Calibri" w:cs="Arial"/>
          <w:sz w:val="20"/>
          <w:szCs w:val="20"/>
          <w:lang w:eastAsia="en-US"/>
        </w:rPr>
        <w:tab/>
      </w:r>
      <w:hyperlink r:id="rId8" w:history="1">
        <w:r w:rsidRPr="0091360A">
          <w:rPr>
            <w:rStyle w:val="Hyperlinkki"/>
            <w:rFonts w:eastAsia="Calibri" w:cs="Arial"/>
            <w:color w:val="auto"/>
            <w:sz w:val="20"/>
            <w:szCs w:val="20"/>
            <w:u w:val="none"/>
            <w:lang w:eastAsia="en-US"/>
          </w:rPr>
          <w:t>tapio.varmola@seamk.fi</w:t>
        </w:r>
      </w:hyperlink>
      <w:r w:rsidRPr="0091360A">
        <w:rPr>
          <w:rFonts w:eastAsia="Calibri" w:cs="Arial"/>
          <w:sz w:val="20"/>
          <w:szCs w:val="20"/>
          <w:lang w:eastAsia="en-US"/>
        </w:rPr>
        <w:t xml:space="preserve"> </w:t>
      </w:r>
      <w:r w:rsidRPr="0091360A">
        <w:rPr>
          <w:rFonts w:eastAsia="Calibri" w:cs="Arial"/>
          <w:sz w:val="20"/>
          <w:szCs w:val="20"/>
          <w:lang w:eastAsia="en-US"/>
        </w:rPr>
        <w:tab/>
      </w:r>
      <w:r>
        <w:rPr>
          <w:rFonts w:eastAsia="Calibri" w:cs="Arial"/>
          <w:sz w:val="20"/>
          <w:szCs w:val="20"/>
          <w:lang w:eastAsia="en-US"/>
        </w:rPr>
        <w:tab/>
      </w:r>
      <w:r w:rsidRPr="0091360A">
        <w:rPr>
          <w:rFonts w:eastAsia="Calibri" w:cs="Arial"/>
          <w:sz w:val="20"/>
          <w:szCs w:val="20"/>
          <w:lang w:eastAsia="en-US"/>
        </w:rPr>
        <w:tab/>
      </w:r>
      <w:hyperlink r:id="rId9" w:history="1">
        <w:r w:rsidRPr="0091360A">
          <w:rPr>
            <w:rStyle w:val="Hyperlinkki"/>
            <w:rFonts w:eastAsia="Calibri" w:cs="Arial"/>
            <w:color w:val="auto"/>
            <w:sz w:val="20"/>
            <w:szCs w:val="20"/>
            <w:u w:val="none"/>
            <w:lang w:eastAsia="en-US"/>
          </w:rPr>
          <w:t>petri.lempinen@arene.fi</w:t>
        </w:r>
      </w:hyperlink>
    </w:p>
    <w:p w14:paraId="31188B8D" w14:textId="77777777" w:rsidR="0091360A" w:rsidRDefault="0091360A" w:rsidP="0091360A">
      <w:pPr>
        <w:spacing w:after="200" w:line="276" w:lineRule="auto"/>
        <w:contextualSpacing/>
        <w:rPr>
          <w:rFonts w:eastAsia="Calibri" w:cs="Arial"/>
          <w:lang w:eastAsia="en-US"/>
        </w:rPr>
      </w:pPr>
    </w:p>
    <w:p w14:paraId="15AE5AE5" w14:textId="77777777" w:rsidR="0091360A" w:rsidRDefault="0091360A" w:rsidP="0091360A">
      <w:pPr>
        <w:jc w:val="both"/>
        <w:rPr>
          <w:rStyle w:val="Korostus"/>
          <w:rFonts w:ascii="Open Sans" w:hAnsi="Open Sans"/>
          <w:i w:val="0"/>
          <w:sz w:val="18"/>
          <w:szCs w:val="18"/>
        </w:rPr>
      </w:pPr>
    </w:p>
    <w:p w14:paraId="5CE1BF48" w14:textId="30311755" w:rsidR="0091360A" w:rsidRDefault="0091360A" w:rsidP="0091360A">
      <w:pPr>
        <w:jc w:val="both"/>
        <w:rPr>
          <w:rStyle w:val="Korostus"/>
          <w:rFonts w:ascii="Open Sans" w:hAnsi="Open Sans"/>
          <w:i w:val="0"/>
          <w:sz w:val="18"/>
          <w:szCs w:val="18"/>
        </w:rPr>
      </w:pPr>
    </w:p>
    <w:p w14:paraId="6658D4DF" w14:textId="78EB4ECE" w:rsidR="00250172" w:rsidRDefault="00250172" w:rsidP="0091360A">
      <w:pPr>
        <w:jc w:val="both"/>
        <w:rPr>
          <w:rStyle w:val="Korostus"/>
          <w:rFonts w:ascii="Open Sans" w:hAnsi="Open Sans"/>
          <w:i w:val="0"/>
          <w:sz w:val="18"/>
          <w:szCs w:val="18"/>
        </w:rPr>
      </w:pPr>
    </w:p>
    <w:p w14:paraId="763B2A9F" w14:textId="56DF0448" w:rsidR="00250172" w:rsidRDefault="00250172" w:rsidP="0091360A">
      <w:pPr>
        <w:jc w:val="both"/>
        <w:rPr>
          <w:rStyle w:val="Korostus"/>
          <w:rFonts w:ascii="Open Sans" w:hAnsi="Open Sans"/>
          <w:i w:val="0"/>
          <w:sz w:val="18"/>
          <w:szCs w:val="18"/>
        </w:rPr>
      </w:pPr>
    </w:p>
    <w:p w14:paraId="44B41500" w14:textId="4B96687B" w:rsidR="00250172" w:rsidRDefault="00250172" w:rsidP="0091360A">
      <w:pPr>
        <w:jc w:val="both"/>
        <w:rPr>
          <w:rStyle w:val="Korostus"/>
          <w:rFonts w:ascii="Open Sans" w:hAnsi="Open Sans"/>
          <w:i w:val="0"/>
          <w:sz w:val="18"/>
          <w:szCs w:val="18"/>
        </w:rPr>
      </w:pPr>
    </w:p>
    <w:p w14:paraId="64331B76" w14:textId="77777777" w:rsidR="00250172" w:rsidRDefault="00250172" w:rsidP="0091360A">
      <w:pPr>
        <w:jc w:val="both"/>
        <w:rPr>
          <w:rStyle w:val="Korostus"/>
          <w:rFonts w:ascii="Open Sans" w:hAnsi="Open Sans"/>
          <w:i w:val="0"/>
          <w:sz w:val="18"/>
          <w:szCs w:val="18"/>
        </w:rPr>
      </w:pPr>
    </w:p>
    <w:p w14:paraId="5B7420EB" w14:textId="77777777" w:rsidR="0091360A" w:rsidRDefault="0091360A" w:rsidP="0091360A">
      <w:pPr>
        <w:jc w:val="both"/>
        <w:rPr>
          <w:rStyle w:val="Korostus"/>
          <w:rFonts w:ascii="Open Sans" w:hAnsi="Open Sans"/>
          <w:i w:val="0"/>
          <w:sz w:val="18"/>
          <w:szCs w:val="18"/>
        </w:rPr>
      </w:pPr>
    </w:p>
    <w:p w14:paraId="111FC991" w14:textId="77777777" w:rsidR="0091360A" w:rsidRDefault="0091360A" w:rsidP="0091360A">
      <w:pPr>
        <w:jc w:val="both"/>
        <w:rPr>
          <w:rStyle w:val="Korostus"/>
          <w:rFonts w:ascii="Open Sans" w:hAnsi="Open Sans"/>
          <w:i w:val="0"/>
          <w:sz w:val="18"/>
          <w:szCs w:val="18"/>
        </w:rPr>
      </w:pPr>
    </w:p>
    <w:p w14:paraId="35A1B38E" w14:textId="77777777" w:rsidR="0091360A" w:rsidRDefault="0091360A"/>
    <w:sectPr w:rsidR="0091360A" w:rsidSect="00B303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Open Sans">
    <w:altName w:val="Segoe UI"/>
    <w:charset w:val="00"/>
    <w:family w:val="auto"/>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E4E61"/>
    <w:multiLevelType w:val="hybridMultilevel"/>
    <w:tmpl w:val="4DE6F5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0A"/>
    <w:rsid w:val="0005470B"/>
    <w:rsid w:val="00217F31"/>
    <w:rsid w:val="00250172"/>
    <w:rsid w:val="00481950"/>
    <w:rsid w:val="00625E48"/>
    <w:rsid w:val="00685823"/>
    <w:rsid w:val="007123E4"/>
    <w:rsid w:val="007266D3"/>
    <w:rsid w:val="007834F6"/>
    <w:rsid w:val="0081090B"/>
    <w:rsid w:val="008336B6"/>
    <w:rsid w:val="00911E80"/>
    <w:rsid w:val="0091360A"/>
    <w:rsid w:val="0096285E"/>
    <w:rsid w:val="009D4008"/>
    <w:rsid w:val="00B303D5"/>
    <w:rsid w:val="00B672BB"/>
    <w:rsid w:val="00BC48BB"/>
    <w:rsid w:val="00CE6352"/>
    <w:rsid w:val="00F219E8"/>
    <w:rsid w:val="00F3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7DFEB"/>
  <w14:defaultImageDpi w14:val="300"/>
  <w15:docId w15:val="{E891AEAD-AC51-408B-BCC7-EECD4CD4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1360A"/>
    <w:rPr>
      <w:rFonts w:ascii="Arial" w:eastAsia="Times New Roman" w:hAnsi="Arial" w:cs="Times New Roman"/>
      <w:sz w:val="22"/>
      <w:szCs w:val="22"/>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91360A"/>
    <w:rPr>
      <w:color w:val="0000FF"/>
      <w:u w:val="single"/>
    </w:rPr>
  </w:style>
  <w:style w:type="paragraph" w:styleId="Leipteksti">
    <w:name w:val="Body Text"/>
    <w:basedOn w:val="Normaali"/>
    <w:link w:val="LeiptekstiChar"/>
    <w:rsid w:val="0091360A"/>
    <w:pPr>
      <w:jc w:val="both"/>
    </w:pPr>
    <w:rPr>
      <w:rFonts w:ascii="Times New Roman" w:hAnsi="Times New Roman"/>
      <w:sz w:val="28"/>
      <w:szCs w:val="20"/>
      <w:lang w:val="x-none" w:eastAsia="x-none" w:bidi="he-IL"/>
    </w:rPr>
  </w:style>
  <w:style w:type="character" w:customStyle="1" w:styleId="LeiptekstiChar">
    <w:name w:val="Leipäteksti Char"/>
    <w:basedOn w:val="Kappaleenoletusfontti"/>
    <w:link w:val="Leipteksti"/>
    <w:rsid w:val="0091360A"/>
    <w:rPr>
      <w:rFonts w:ascii="Times New Roman" w:eastAsia="Times New Roman" w:hAnsi="Times New Roman" w:cs="Times New Roman"/>
      <w:sz w:val="28"/>
      <w:szCs w:val="20"/>
      <w:lang w:val="x-none" w:eastAsia="x-none" w:bidi="he-IL"/>
    </w:rPr>
  </w:style>
  <w:style w:type="character" w:styleId="AvattuHyperlinkki">
    <w:name w:val="FollowedHyperlink"/>
    <w:basedOn w:val="Kappaleenoletusfontti"/>
    <w:uiPriority w:val="99"/>
    <w:semiHidden/>
    <w:unhideWhenUsed/>
    <w:rsid w:val="0091360A"/>
    <w:rPr>
      <w:color w:val="800080" w:themeColor="followedHyperlink"/>
      <w:u w:val="single"/>
    </w:rPr>
  </w:style>
  <w:style w:type="character" w:styleId="Voimakas">
    <w:name w:val="Strong"/>
    <w:uiPriority w:val="22"/>
    <w:qFormat/>
    <w:rsid w:val="0091360A"/>
    <w:rPr>
      <w:b/>
      <w:bCs/>
    </w:rPr>
  </w:style>
  <w:style w:type="character" w:styleId="Korostus">
    <w:name w:val="Emphasis"/>
    <w:uiPriority w:val="20"/>
    <w:qFormat/>
    <w:rsid w:val="0091360A"/>
    <w:rPr>
      <w:i/>
      <w:iCs/>
    </w:rPr>
  </w:style>
  <w:style w:type="paragraph" w:styleId="Seliteteksti">
    <w:name w:val="Balloon Text"/>
    <w:basedOn w:val="Normaali"/>
    <w:link w:val="SelitetekstiChar"/>
    <w:uiPriority w:val="99"/>
    <w:semiHidden/>
    <w:unhideWhenUsed/>
    <w:rsid w:val="0091360A"/>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91360A"/>
    <w:rPr>
      <w:rFonts w:ascii="Lucida Grande" w:eastAsia="Times New Roman" w:hAnsi="Lucida Grande" w:cs="Times New Roman"/>
      <w:sz w:val="18"/>
      <w:szCs w:val="18"/>
      <w:lang w:val="fi-FI" w:eastAsia="fi-FI"/>
    </w:rPr>
  </w:style>
  <w:style w:type="paragraph" w:styleId="Luettelokappale">
    <w:name w:val="List Paragraph"/>
    <w:basedOn w:val="Normaali"/>
    <w:uiPriority w:val="34"/>
    <w:qFormat/>
    <w:rsid w:val="00B672BB"/>
    <w:pPr>
      <w:spacing w:after="160" w:line="25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03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io.varmola@seamk.fi"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ne.f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ri.lempinen@arene.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508</Words>
  <Characters>4121</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Lapin yliopisto</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Pöysä</dc:creator>
  <cp:keywords/>
  <dc:description/>
  <cp:lastModifiedBy>Eija Antila</cp:lastModifiedBy>
  <cp:revision>8</cp:revision>
  <dcterms:created xsi:type="dcterms:W3CDTF">2018-06-12T05:51:00Z</dcterms:created>
  <dcterms:modified xsi:type="dcterms:W3CDTF">2018-06-12T06:26:00Z</dcterms:modified>
</cp:coreProperties>
</file>